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5C" w:rsidRPr="00414C73" w:rsidRDefault="003C525C" w:rsidP="00414C73">
      <w:pPr>
        <w:contextualSpacing/>
        <w:jc w:val="center"/>
        <w:rPr>
          <w:b/>
          <w:sz w:val="28"/>
          <w:szCs w:val="28"/>
        </w:rPr>
      </w:pPr>
      <w:r w:rsidRPr="00414C73">
        <w:rPr>
          <w:b/>
          <w:sz w:val="28"/>
          <w:szCs w:val="28"/>
        </w:rPr>
        <w:t>Teaching and Learning Certificate (TLC)</w:t>
      </w:r>
    </w:p>
    <w:p w:rsidR="003C525C" w:rsidRDefault="003C525C">
      <w:pPr>
        <w:contextualSpacing/>
      </w:pPr>
      <w:r>
        <w:br/>
        <w:t xml:space="preserve">The TLC program is designed to provide Fullerton College educators (classified staff, managers, and faculty, both full-time and part-time) with opportunities for professional learning that helps them improve their practice and contribute meaningfully to student success. </w:t>
      </w:r>
    </w:p>
    <w:p w:rsidR="003C525C" w:rsidRDefault="003C525C">
      <w:pPr>
        <w:contextualSpacing/>
      </w:pPr>
    </w:p>
    <w:p w:rsidR="003C525C" w:rsidRDefault="003C525C">
      <w:pPr>
        <w:contextualSpacing/>
      </w:pPr>
      <w:r>
        <w:t xml:space="preserve">To earn the certificate, educators will engage in 20 hours* of professional learning across three categories of their choice, with a minimum of 5 hours in each category.  Program categories are listed below with examples of the kinds of workshop content </w:t>
      </w:r>
      <w:r w:rsidR="00414C73">
        <w:t xml:space="preserve">that might be </w:t>
      </w:r>
      <w:r>
        <w:t xml:space="preserve">covered within each category.  </w:t>
      </w:r>
    </w:p>
    <w:p w:rsidR="003C525C" w:rsidRDefault="003C525C">
      <w:pPr>
        <w:contextualSpacing/>
      </w:pPr>
    </w:p>
    <w:p w:rsidR="00414C73" w:rsidRDefault="00414C73" w:rsidP="00414C73">
      <w:pPr>
        <w:contextualSpacing/>
        <w:rPr>
          <w:b/>
          <w:sz w:val="20"/>
          <w:szCs w:val="20"/>
        </w:rPr>
        <w:sectPr w:rsidR="00414C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C73" w:rsidRPr="00414C73" w:rsidRDefault="00414C73" w:rsidP="00414C73">
      <w:pPr>
        <w:contextualSpacing/>
        <w:rPr>
          <w:b/>
          <w:sz w:val="20"/>
          <w:szCs w:val="20"/>
        </w:rPr>
      </w:pPr>
      <w:r w:rsidRPr="00414C73">
        <w:rPr>
          <w:b/>
          <w:sz w:val="20"/>
          <w:szCs w:val="20"/>
        </w:rPr>
        <w:t>Instructional Practice and Student Success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Instructional Technology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Online Pedagogy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Web-Enhanced Instruction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 xml:space="preserve">Instructional Software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16A3">
        <w:rPr>
          <w:sz w:val="20"/>
          <w:szCs w:val="20"/>
        </w:rPr>
        <w:t xml:space="preserve">     </w:t>
      </w:r>
      <w:r w:rsidRPr="00414C73">
        <w:rPr>
          <w:sz w:val="20"/>
          <w:szCs w:val="20"/>
        </w:rPr>
        <w:t>Applications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414C73">
        <w:rPr>
          <w:sz w:val="20"/>
          <w:szCs w:val="20"/>
        </w:rPr>
        <w:t>Pedagogy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Active and Collaborative Learning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 xml:space="preserve">Service Learning and Civic </w:t>
      </w:r>
      <w:r>
        <w:rPr>
          <w:sz w:val="20"/>
          <w:szCs w:val="20"/>
        </w:rPr>
        <w:tab/>
      </w:r>
      <w:r w:rsidR="009B16A3">
        <w:rPr>
          <w:sz w:val="20"/>
          <w:szCs w:val="20"/>
        </w:rPr>
        <w:tab/>
        <w:t xml:space="preserve">                    </w:t>
      </w:r>
      <w:r w:rsidRPr="00414C73">
        <w:rPr>
          <w:sz w:val="20"/>
          <w:szCs w:val="20"/>
        </w:rPr>
        <w:t>Engagement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Undergraduate Research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Project-Based Learning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Reading Apprenticeship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Attending to the Affective Domain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414C73">
        <w:rPr>
          <w:sz w:val="20"/>
          <w:szCs w:val="20"/>
        </w:rPr>
        <w:t>Student Support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Faculty Advising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Creating Student Pathways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Academic Support Services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Effective Interactions with Students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</w:r>
    </w:p>
    <w:p w:rsidR="00414C73" w:rsidRPr="00414C73" w:rsidRDefault="00414C73" w:rsidP="00414C73">
      <w:pPr>
        <w:contextualSpacing/>
        <w:rPr>
          <w:b/>
          <w:sz w:val="20"/>
          <w:szCs w:val="20"/>
        </w:rPr>
      </w:pPr>
      <w:r w:rsidRPr="00414C73">
        <w:rPr>
          <w:b/>
          <w:sz w:val="20"/>
          <w:szCs w:val="20"/>
        </w:rPr>
        <w:t>Equity and Diversity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Cultural Intelligence and Responsiveness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Understanding Student Populations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Universal Design for Learning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Reducing Achievement Gaps</w:t>
      </w:r>
    </w:p>
    <w:p w:rsidR="00414C73" w:rsidRDefault="00414C73" w:rsidP="00414C73">
      <w:pPr>
        <w:contextualSpacing/>
        <w:rPr>
          <w:b/>
          <w:sz w:val="20"/>
          <w:szCs w:val="20"/>
        </w:rPr>
      </w:pPr>
    </w:p>
    <w:p w:rsidR="00414C73" w:rsidRPr="00414C73" w:rsidRDefault="00414C73" w:rsidP="00414C73">
      <w:pPr>
        <w:contextualSpacing/>
        <w:rPr>
          <w:b/>
          <w:sz w:val="20"/>
          <w:szCs w:val="20"/>
        </w:rPr>
      </w:pPr>
      <w:r w:rsidRPr="00414C73">
        <w:rPr>
          <w:b/>
          <w:sz w:val="20"/>
          <w:szCs w:val="20"/>
        </w:rPr>
        <w:t>Habits of Mind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Fostering Growth Mindset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Mindfulness Practices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Online Habits of Mind Modules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</w:p>
    <w:p w:rsidR="00414C73" w:rsidRPr="00414C73" w:rsidRDefault="00414C73" w:rsidP="00414C73">
      <w:pPr>
        <w:contextualSpacing/>
        <w:rPr>
          <w:b/>
          <w:sz w:val="20"/>
          <w:szCs w:val="20"/>
        </w:rPr>
      </w:pPr>
      <w:r w:rsidRPr="00414C73">
        <w:rPr>
          <w:b/>
          <w:sz w:val="20"/>
          <w:szCs w:val="20"/>
        </w:rPr>
        <w:t>Institutional Effectiveness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Program Review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Outcomes:  Design </w:t>
      </w:r>
      <w:r w:rsidRPr="00414C73">
        <w:rPr>
          <w:sz w:val="20"/>
          <w:szCs w:val="20"/>
        </w:rPr>
        <w:t>and Assessment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Student Learning Outcomes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Program Learning Outcomes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Institutional Learning Outcomes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Service Area Outcomes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eLumen Training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Tenure Review</w:t>
      </w:r>
      <w:r w:rsidRPr="00414C73">
        <w:rPr>
          <w:sz w:val="20"/>
          <w:szCs w:val="20"/>
        </w:rPr>
        <w:tab/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Shared Governance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Program Evaluation and Data Assessment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Technology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Website design and maintenance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  <w:t>Office software and programs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Leadership Training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</w:r>
      <w:r w:rsidRPr="00414C73">
        <w:rPr>
          <w:sz w:val="20"/>
          <w:szCs w:val="20"/>
        </w:rPr>
        <w:tab/>
      </w:r>
    </w:p>
    <w:p w:rsidR="00414C73" w:rsidRPr="00414C73" w:rsidRDefault="00414C73" w:rsidP="00414C73">
      <w:pPr>
        <w:contextualSpacing/>
        <w:rPr>
          <w:b/>
          <w:sz w:val="20"/>
          <w:szCs w:val="20"/>
        </w:rPr>
      </w:pPr>
      <w:r w:rsidRPr="00414C73">
        <w:rPr>
          <w:b/>
          <w:sz w:val="20"/>
          <w:szCs w:val="20"/>
        </w:rPr>
        <w:t>Health and Wellness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Exercise and Diet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Stress Reduction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Work-Life Balance</w:t>
      </w:r>
    </w:p>
    <w:p w:rsidR="00414C73" w:rsidRPr="00414C73" w:rsidRDefault="00414C73" w:rsidP="00414C73">
      <w:pPr>
        <w:contextualSpacing/>
        <w:rPr>
          <w:sz w:val="20"/>
          <w:szCs w:val="20"/>
        </w:rPr>
      </w:pPr>
      <w:r w:rsidRPr="00414C73">
        <w:rPr>
          <w:sz w:val="20"/>
          <w:szCs w:val="20"/>
        </w:rPr>
        <w:tab/>
        <w:t>Mindfulness</w:t>
      </w:r>
    </w:p>
    <w:p w:rsidR="00414C73" w:rsidRDefault="00414C73">
      <w:pPr>
        <w:contextualSpacing/>
        <w:sectPr w:rsidR="00414C73" w:rsidSect="00414C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25C" w:rsidRDefault="003C525C">
      <w:pPr>
        <w:contextualSpacing/>
      </w:pPr>
    </w:p>
    <w:p w:rsidR="003C525C" w:rsidRDefault="003C525C">
      <w:pPr>
        <w:contextualSpacing/>
      </w:pPr>
    </w:p>
    <w:p w:rsidR="00351D1D" w:rsidRDefault="009B16A3">
      <w:pPr>
        <w:contextualSpacing/>
      </w:pPr>
      <w:r>
        <w:t xml:space="preserve">A menu of professional learning opportunities will be provided each semester, with updated information about </w:t>
      </w:r>
      <w:r w:rsidR="00351D1D">
        <w:t xml:space="preserve">workshop </w:t>
      </w:r>
      <w:r>
        <w:t>days and times to be found in the Staff Development Calendar on our newly updated website.</w:t>
      </w:r>
    </w:p>
    <w:p w:rsidR="00351D1D" w:rsidRDefault="00351D1D" w:rsidP="00351D1D">
      <w:pPr>
        <w:contextualSpacing/>
      </w:pPr>
    </w:p>
    <w:p w:rsidR="00351D1D" w:rsidRDefault="00351D1D">
      <w:pPr>
        <w:contextualSpacing/>
      </w:pPr>
      <w:r>
        <w:t>*Full-time faculty who have not yet reached column E on the salary schedule will be eligible to earn 1 unit of salary advancement credit for completing the TLC program.</w:t>
      </w:r>
    </w:p>
    <w:p w:rsidR="006569F3" w:rsidRPr="003926F2" w:rsidRDefault="006569F3" w:rsidP="003926F2">
      <w:pPr>
        <w:pStyle w:val="BodyText"/>
        <w:kinsoku w:val="0"/>
        <w:overflowPunct w:val="0"/>
        <w:spacing w:before="37"/>
        <w:ind w:left="2673" w:right="2493"/>
        <w:jc w:val="center"/>
        <w:rPr>
          <w:sz w:val="28"/>
          <w:szCs w:val="28"/>
        </w:rPr>
      </w:pPr>
      <w:r w:rsidRPr="003926F2">
        <w:rPr>
          <w:b/>
          <w:bCs/>
          <w:sz w:val="28"/>
          <w:szCs w:val="28"/>
        </w:rPr>
        <w:lastRenderedPageBreak/>
        <w:t>Teaching Learning Certificate</w:t>
      </w:r>
      <w:r w:rsidRPr="003926F2">
        <w:rPr>
          <w:b/>
          <w:bCs/>
          <w:spacing w:val="-19"/>
          <w:sz w:val="28"/>
          <w:szCs w:val="28"/>
        </w:rPr>
        <w:t xml:space="preserve"> </w:t>
      </w:r>
      <w:r w:rsidRPr="003926F2">
        <w:rPr>
          <w:b/>
          <w:bCs/>
          <w:sz w:val="28"/>
          <w:szCs w:val="28"/>
        </w:rPr>
        <w:t>(TLC)</w:t>
      </w:r>
    </w:p>
    <w:p w:rsidR="006569F3" w:rsidRDefault="006569F3" w:rsidP="006569F3">
      <w:pPr>
        <w:pStyle w:val="BodyText"/>
        <w:kinsoku w:val="0"/>
        <w:overflowPunct w:val="0"/>
        <w:spacing w:before="7"/>
        <w:ind w:left="0"/>
        <w:rPr>
          <w:b/>
          <w:bCs/>
          <w:sz w:val="31"/>
          <w:szCs w:val="31"/>
        </w:rPr>
      </w:pPr>
    </w:p>
    <w:p w:rsidR="006569F3" w:rsidRDefault="006569F3" w:rsidP="006569F3">
      <w:pPr>
        <w:pStyle w:val="BodyText"/>
        <w:kinsoku w:val="0"/>
        <w:overflowPunct w:val="0"/>
        <w:spacing w:line="276" w:lineRule="auto"/>
      </w:pPr>
      <w:r>
        <w:t xml:space="preserve">The </w:t>
      </w:r>
      <w:r w:rsidRPr="003926F2">
        <w:rPr>
          <w:b/>
        </w:rPr>
        <w:t>TLC</w:t>
      </w:r>
      <w:r w:rsidRPr="003926F2">
        <w:t xml:space="preserve"> </w:t>
      </w:r>
      <w:r>
        <w:t>program is designed to provide Fullerton College faculty with opportunities</w:t>
      </w:r>
      <w:r>
        <w:rPr>
          <w:spacing w:val="-1"/>
        </w:rPr>
        <w:t xml:space="preserve"> </w:t>
      </w:r>
      <w:r>
        <w:t>for professional learning that helps them improve their online teaching practice and</w:t>
      </w:r>
      <w:r>
        <w:rPr>
          <w:spacing w:val="-2"/>
        </w:rPr>
        <w:t xml:space="preserve"> </w:t>
      </w:r>
      <w:r>
        <w:t>contribute</w:t>
      </w:r>
      <w:r>
        <w:rPr>
          <w:w w:val="99"/>
        </w:rPr>
        <w:t xml:space="preserve"> </w:t>
      </w:r>
      <w:r>
        <w:t>meaningfully to student success in online</w:t>
      </w:r>
      <w:r>
        <w:rPr>
          <w:spacing w:val="-1"/>
        </w:rPr>
        <w:t xml:space="preserve"> </w:t>
      </w:r>
      <w:r>
        <w:t>courses.</w:t>
      </w:r>
    </w:p>
    <w:p w:rsidR="006569F3" w:rsidRDefault="006569F3" w:rsidP="006569F3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6569F3" w:rsidRDefault="006569F3" w:rsidP="006569F3">
      <w:pPr>
        <w:pStyle w:val="BodyText"/>
        <w:kinsoku w:val="0"/>
        <w:overflowPunct w:val="0"/>
        <w:spacing w:line="276" w:lineRule="auto"/>
      </w:pPr>
      <w:r>
        <w:t>A menu of professional learning opportunities will be provided each semester, with</w:t>
      </w:r>
      <w:r>
        <w:rPr>
          <w:spacing w:val="-1"/>
        </w:rPr>
        <w:t xml:space="preserve"> </w:t>
      </w:r>
      <w:r>
        <w:t>updated information about workshop days and times to be found in the Staff Development Calendar</w:t>
      </w:r>
      <w:r>
        <w:rPr>
          <w:spacing w:val="-1"/>
        </w:rPr>
        <w:t xml:space="preserve"> </w:t>
      </w:r>
      <w:r>
        <w:t>on our newly updated</w:t>
      </w:r>
      <w:r>
        <w:rPr>
          <w:spacing w:val="-1"/>
        </w:rPr>
        <w:t xml:space="preserve"> </w:t>
      </w:r>
      <w:r>
        <w:t>website.</w:t>
      </w:r>
    </w:p>
    <w:p w:rsidR="006569F3" w:rsidRDefault="006569F3" w:rsidP="006569F3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6569F3" w:rsidRPr="00E674FC" w:rsidRDefault="006569F3" w:rsidP="006569F3">
      <w:pPr>
        <w:pStyle w:val="BodyText"/>
        <w:kinsoku w:val="0"/>
        <w:overflowPunct w:val="0"/>
        <w:spacing w:line="276" w:lineRule="auto"/>
      </w:pPr>
      <w:r w:rsidRPr="00E674FC">
        <w:t>*Full-time faculty who have not yet reached column E on the salary schedule will be eligible</w:t>
      </w:r>
      <w:r w:rsidRPr="00E674FC">
        <w:rPr>
          <w:spacing w:val="-2"/>
        </w:rPr>
        <w:t xml:space="preserve"> </w:t>
      </w:r>
      <w:r w:rsidRPr="00E674FC">
        <w:t xml:space="preserve">to earn 1 unit of salary advancement credit for completing the </w:t>
      </w:r>
      <w:r w:rsidRPr="00E674FC">
        <w:rPr>
          <w:b/>
        </w:rPr>
        <w:t>TLC</w:t>
      </w:r>
      <w:r w:rsidRPr="00E674FC">
        <w:rPr>
          <w:spacing w:val="-2"/>
        </w:rPr>
        <w:t xml:space="preserve"> </w:t>
      </w:r>
      <w:r w:rsidRPr="00E674FC">
        <w:t>program.</w:t>
      </w:r>
    </w:p>
    <w:p w:rsidR="006569F3" w:rsidRDefault="006569F3" w:rsidP="006569F3">
      <w:pPr>
        <w:pStyle w:val="BodyText"/>
        <w:kinsoku w:val="0"/>
        <w:overflowPunct w:val="0"/>
        <w:spacing w:before="8"/>
        <w:ind w:left="0"/>
        <w:rPr>
          <w:sz w:val="32"/>
          <w:szCs w:val="32"/>
        </w:rPr>
      </w:pPr>
    </w:p>
    <w:p w:rsidR="006569F3" w:rsidRDefault="006569F3" w:rsidP="006569F3">
      <w:pPr>
        <w:pStyle w:val="BodyText"/>
        <w:kinsoku w:val="0"/>
        <w:overflowPunct w:val="0"/>
        <w:ind w:left="2673" w:right="249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Statement of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Intent</w:t>
      </w:r>
    </w:p>
    <w:p w:rsidR="006569F3" w:rsidRDefault="006569F3" w:rsidP="006569F3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31"/>
          <w:szCs w:val="31"/>
        </w:rPr>
      </w:pPr>
    </w:p>
    <w:p w:rsidR="006569F3" w:rsidRDefault="006569F3" w:rsidP="006569F3">
      <w:pPr>
        <w:pStyle w:val="BodyText"/>
        <w:kinsoku w:val="0"/>
        <w:overflowPunct w:val="0"/>
        <w:spacing w:line="276" w:lineRule="auto"/>
      </w:pPr>
      <w:r>
        <w:t xml:space="preserve">The </w:t>
      </w:r>
      <w:r w:rsidRPr="00E674FC">
        <w:rPr>
          <w:b/>
        </w:rPr>
        <w:t>TLC</w:t>
      </w:r>
      <w:r w:rsidRPr="00E674FC">
        <w:t xml:space="preserve"> </w:t>
      </w:r>
      <w:r>
        <w:t>workshops are open to all staff, but faculty who wish to work toward a</w:t>
      </w:r>
      <w:r>
        <w:rPr>
          <w:spacing w:val="-1"/>
        </w:rPr>
        <w:t xml:space="preserve"> </w:t>
      </w:r>
      <w:r>
        <w:t>certificate</w:t>
      </w:r>
      <w:r>
        <w:rPr>
          <w:w w:val="99"/>
        </w:rPr>
        <w:t xml:space="preserve"> </w:t>
      </w:r>
      <w:r>
        <w:t>should express interest by submitting this Statement of Intent so the Staff Development</w:t>
      </w:r>
      <w:r>
        <w:rPr>
          <w:spacing w:val="-2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can begin tracking your attendance at our</w:t>
      </w:r>
      <w:r>
        <w:rPr>
          <w:spacing w:val="-1"/>
        </w:rPr>
        <w:t xml:space="preserve"> </w:t>
      </w:r>
      <w:r>
        <w:t>workshops.</w:t>
      </w:r>
    </w:p>
    <w:p w:rsidR="006569F3" w:rsidRDefault="006569F3" w:rsidP="006569F3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ind w:left="9810" w:hanging="765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spacing w:before="11"/>
        <w:ind w:left="9810" w:hanging="7650"/>
        <w:rPr>
          <w:sz w:val="17"/>
          <w:szCs w:val="17"/>
        </w:rPr>
      </w:pP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spacing w:before="69"/>
        <w:ind w:left="9810" w:hanging="7650"/>
      </w:pPr>
      <w:r>
        <w:t>Printed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spacing w:before="11"/>
        <w:ind w:left="9810" w:hanging="7650"/>
        <w:rPr>
          <w:sz w:val="17"/>
          <w:szCs w:val="17"/>
        </w:rPr>
      </w:pP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spacing w:before="69"/>
        <w:ind w:left="9810" w:hanging="7650"/>
        <w:rPr>
          <w:u w:val="single"/>
        </w:rPr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69F3" w:rsidRDefault="006569F3" w:rsidP="00E674FC">
      <w:pPr>
        <w:pStyle w:val="BodyText"/>
        <w:tabs>
          <w:tab w:val="left" w:pos="6426"/>
          <w:tab w:val="left" w:pos="8460"/>
        </w:tabs>
        <w:kinsoku w:val="0"/>
        <w:overflowPunct w:val="0"/>
        <w:spacing w:before="69"/>
        <w:ind w:left="9810" w:hanging="7650"/>
      </w:pPr>
    </w:p>
    <w:p w:rsidR="006569F3" w:rsidRDefault="006569F3" w:rsidP="00E674FC">
      <w:pPr>
        <w:pStyle w:val="BodyText"/>
        <w:tabs>
          <w:tab w:val="left" w:pos="6426"/>
        </w:tabs>
        <w:kinsoku w:val="0"/>
        <w:overflowPunct w:val="0"/>
        <w:spacing w:before="69"/>
        <w:ind w:left="9810" w:hanging="7650"/>
      </w:pPr>
      <w:r>
        <w:t>Email address: _________________________________________</w:t>
      </w: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spacing w:before="11"/>
        <w:ind w:left="9810" w:hanging="7650"/>
        <w:rPr>
          <w:sz w:val="17"/>
          <w:szCs w:val="17"/>
        </w:rPr>
      </w:pPr>
    </w:p>
    <w:p w:rsidR="006569F3" w:rsidRDefault="006569F3" w:rsidP="00E674FC">
      <w:pPr>
        <w:pStyle w:val="BodyText"/>
        <w:tabs>
          <w:tab w:val="left" w:pos="6385"/>
          <w:tab w:val="left" w:pos="8460"/>
        </w:tabs>
        <w:kinsoku w:val="0"/>
        <w:overflowPunct w:val="0"/>
        <w:spacing w:before="69"/>
        <w:ind w:left="9810" w:hanging="7650"/>
      </w:pPr>
      <w:r>
        <w:t xml:space="preserve">Department/Division/Area: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ind w:left="9810" w:hanging="7650"/>
        <w:rPr>
          <w:sz w:val="20"/>
          <w:szCs w:val="20"/>
        </w:rPr>
      </w:pPr>
    </w:p>
    <w:p w:rsidR="006569F3" w:rsidRDefault="006569F3" w:rsidP="00E674FC">
      <w:pPr>
        <w:pStyle w:val="BodyText"/>
        <w:tabs>
          <w:tab w:val="left" w:pos="8460"/>
        </w:tabs>
        <w:kinsoku w:val="0"/>
        <w:overflowPunct w:val="0"/>
        <w:spacing w:before="2"/>
        <w:ind w:left="9810" w:hanging="7650"/>
        <w:rPr>
          <w:sz w:val="22"/>
          <w:szCs w:val="22"/>
        </w:rPr>
      </w:pPr>
    </w:p>
    <w:p w:rsidR="006569F3" w:rsidRDefault="006569F3" w:rsidP="00E674FC">
      <w:pPr>
        <w:tabs>
          <w:tab w:val="left" w:pos="8460"/>
        </w:tabs>
        <w:ind w:left="9810" w:hanging="7650"/>
        <w:rPr>
          <w:sz w:val="22"/>
          <w:szCs w:val="22"/>
        </w:rPr>
        <w:sectPr w:rsidR="006569F3" w:rsidSect="006569F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6569F3" w:rsidRPr="00E674FC" w:rsidRDefault="006569F3" w:rsidP="00E674FC">
      <w:pPr>
        <w:pStyle w:val="BodyText"/>
        <w:tabs>
          <w:tab w:val="left" w:pos="1539"/>
          <w:tab w:val="left" w:pos="3873"/>
          <w:tab w:val="left" w:pos="8460"/>
        </w:tabs>
        <w:kinsoku w:val="0"/>
        <w:overflowPunct w:val="0"/>
        <w:spacing w:before="69"/>
        <w:ind w:left="9810" w:hanging="7650"/>
        <w:rPr>
          <w:b/>
          <w:i/>
          <w:sz w:val="20"/>
          <w:szCs w:val="20"/>
        </w:rPr>
      </w:pPr>
      <w:r>
        <w:rPr>
          <w:w w:val="95"/>
        </w:rPr>
        <w:t xml:space="preserve">Faculty:    </w:t>
      </w:r>
      <w:r>
        <w:t>Full-time</w:t>
      </w:r>
      <w:r>
        <w:rPr>
          <w:u w:val="single"/>
        </w:rPr>
        <w:t xml:space="preserve">         </w:t>
      </w:r>
      <w:r>
        <w:t xml:space="preserve">   </w:t>
      </w:r>
      <w:r w:rsidRPr="00E674FC">
        <w:rPr>
          <w:b/>
          <w:i/>
          <w:sz w:val="20"/>
          <w:szCs w:val="20"/>
        </w:rPr>
        <w:t>Full –time please check one –</w:t>
      </w:r>
    </w:p>
    <w:p w:rsidR="006569F3" w:rsidRPr="00E674FC" w:rsidRDefault="006569F3" w:rsidP="00E674FC">
      <w:pPr>
        <w:pStyle w:val="BodyText"/>
        <w:tabs>
          <w:tab w:val="left" w:pos="1539"/>
          <w:tab w:val="left" w:pos="3873"/>
          <w:tab w:val="left" w:pos="8460"/>
        </w:tabs>
        <w:kinsoku w:val="0"/>
        <w:overflowPunct w:val="0"/>
        <w:spacing w:before="69"/>
        <w:ind w:left="9810" w:hanging="7650"/>
        <w:rPr>
          <w:b/>
          <w:i/>
          <w:sz w:val="20"/>
          <w:szCs w:val="20"/>
        </w:rPr>
      </w:pPr>
      <w:r w:rsidRPr="00E674FC">
        <w:rPr>
          <w:b/>
          <w:i/>
          <w:sz w:val="20"/>
          <w:szCs w:val="20"/>
        </w:rPr>
        <w:tab/>
        <w:t>Certificate only ____   Certificate &amp; Unit Equivalency____</w:t>
      </w:r>
    </w:p>
    <w:p w:rsidR="006569F3" w:rsidRDefault="006569F3" w:rsidP="00E674FC">
      <w:pPr>
        <w:pStyle w:val="BodyText"/>
        <w:tabs>
          <w:tab w:val="left" w:pos="1539"/>
          <w:tab w:val="left" w:pos="3873"/>
          <w:tab w:val="left" w:pos="8460"/>
        </w:tabs>
        <w:kinsoku w:val="0"/>
        <w:overflowPunct w:val="0"/>
        <w:spacing w:before="69"/>
        <w:ind w:left="9810" w:hanging="7650"/>
        <w:rPr>
          <w:i/>
          <w:color w:val="00B0F0"/>
        </w:rPr>
      </w:pPr>
    </w:p>
    <w:p w:rsidR="006569F3" w:rsidRDefault="006569F3" w:rsidP="00E674FC">
      <w:pPr>
        <w:pStyle w:val="BodyText"/>
        <w:tabs>
          <w:tab w:val="left" w:pos="1539"/>
          <w:tab w:val="left" w:pos="3873"/>
          <w:tab w:val="left" w:pos="8460"/>
        </w:tabs>
        <w:kinsoku w:val="0"/>
        <w:overflowPunct w:val="0"/>
        <w:spacing w:before="69"/>
        <w:ind w:left="9810" w:hanging="7650"/>
      </w:pPr>
      <w:r>
        <w:t xml:space="preserve">        </w:t>
      </w:r>
      <w:r w:rsidR="00E674FC">
        <w:t xml:space="preserve">        </w:t>
      </w:r>
      <w:r>
        <w:t xml:space="preserve">        Part-time_____        Classified______</w:t>
      </w:r>
    </w:p>
    <w:p w:rsidR="009C41B2" w:rsidRDefault="009C41B2" w:rsidP="006569F3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</w:p>
    <w:p w:rsidR="009C41B2" w:rsidRDefault="009C41B2" w:rsidP="009C41B2">
      <w:pPr>
        <w:pStyle w:val="BodyText"/>
        <w:tabs>
          <w:tab w:val="left" w:pos="1539"/>
          <w:tab w:val="left" w:pos="3873"/>
        </w:tabs>
        <w:kinsoku w:val="0"/>
        <w:overflowPunct w:val="0"/>
        <w:ind w:left="0"/>
      </w:pPr>
    </w:p>
    <w:p w:rsidR="006569F3" w:rsidRPr="00E674FC" w:rsidRDefault="008B4584" w:rsidP="009C41B2">
      <w:pPr>
        <w:pStyle w:val="BodyText"/>
        <w:tabs>
          <w:tab w:val="left" w:pos="1539"/>
          <w:tab w:val="left" w:pos="3873"/>
        </w:tabs>
        <w:kinsoku w:val="0"/>
        <w:overflowPunct w:val="0"/>
        <w:ind w:left="0"/>
        <w:rPr>
          <w:color w:val="FF0000"/>
        </w:rPr>
      </w:pPr>
      <w:r w:rsidRPr="00E674FC">
        <w:rPr>
          <w:color w:val="FF0000"/>
        </w:rPr>
        <w:t>Choose one of the following methods to submit your Statement of Intent:</w:t>
      </w:r>
    </w:p>
    <w:p w:rsidR="008B4584" w:rsidRPr="00E674FC" w:rsidRDefault="008B4584" w:rsidP="009C41B2">
      <w:pPr>
        <w:pStyle w:val="BodyText"/>
        <w:numPr>
          <w:ilvl w:val="0"/>
          <w:numId w:val="2"/>
        </w:numPr>
        <w:tabs>
          <w:tab w:val="left" w:pos="1539"/>
          <w:tab w:val="left" w:pos="3873"/>
        </w:tabs>
        <w:kinsoku w:val="0"/>
        <w:overflowPunct w:val="0"/>
        <w:spacing w:before="69"/>
        <w:rPr>
          <w:b/>
        </w:rPr>
      </w:pPr>
      <w:r w:rsidRPr="00E674FC">
        <w:rPr>
          <w:b/>
        </w:rPr>
        <w:t xml:space="preserve">Print, fill out, and sign a hard copy and send to </w:t>
      </w:r>
      <w:r w:rsidR="00A64DB9">
        <w:rPr>
          <w:b/>
        </w:rPr>
        <w:t>Heather Treminio</w:t>
      </w:r>
      <w:bookmarkStart w:id="0" w:name="_GoBack"/>
      <w:bookmarkEnd w:id="0"/>
      <w:r w:rsidRPr="00E674FC">
        <w:rPr>
          <w:b/>
        </w:rPr>
        <w:t xml:space="preserve"> (in the Staff Development Office</w:t>
      </w:r>
      <w:r w:rsidR="00A67B2A" w:rsidRPr="00E674FC">
        <w:rPr>
          <w:b/>
        </w:rPr>
        <w:t>)</w:t>
      </w:r>
      <w:r w:rsidRPr="00E674FC">
        <w:rPr>
          <w:b/>
        </w:rPr>
        <w:t xml:space="preserve"> through campus mail. </w:t>
      </w:r>
    </w:p>
    <w:p w:rsidR="008B4584" w:rsidRPr="00E674FC" w:rsidRDefault="008B4584" w:rsidP="009C41B2">
      <w:pPr>
        <w:pStyle w:val="BodyText"/>
        <w:numPr>
          <w:ilvl w:val="0"/>
          <w:numId w:val="2"/>
        </w:numPr>
        <w:tabs>
          <w:tab w:val="left" w:pos="1539"/>
          <w:tab w:val="left" w:pos="3873"/>
        </w:tabs>
        <w:kinsoku w:val="0"/>
        <w:overflowPunct w:val="0"/>
        <w:spacing w:before="69"/>
        <w:rPr>
          <w:b/>
        </w:rPr>
      </w:pPr>
      <w:r w:rsidRPr="00E674FC">
        <w:rPr>
          <w:b/>
        </w:rPr>
        <w:t xml:space="preserve">Print, fill out, and sign a hard copy and hand deliver to </w:t>
      </w:r>
      <w:r w:rsidR="00CE282F">
        <w:rPr>
          <w:b/>
        </w:rPr>
        <w:t>Heather Treminio</w:t>
      </w:r>
      <w:r w:rsidRPr="00E674FC">
        <w:rPr>
          <w:b/>
        </w:rPr>
        <w:t xml:space="preserve"> in the Staff Development Office (located in the TEC, Room 800</w:t>
      </w:r>
      <w:r w:rsidR="009C41B2" w:rsidRPr="00E674FC">
        <w:rPr>
          <w:b/>
        </w:rPr>
        <w:t>A</w:t>
      </w:r>
      <w:r w:rsidRPr="00E674FC">
        <w:rPr>
          <w:b/>
        </w:rPr>
        <w:t>) between the hours of 12:00pm-8:00pm, Monday through Thursday.</w:t>
      </w:r>
    </w:p>
    <w:p w:rsidR="00A67B2A" w:rsidRPr="00E674FC" w:rsidRDefault="008B4584" w:rsidP="00E674FC">
      <w:pPr>
        <w:pStyle w:val="BodyText"/>
        <w:numPr>
          <w:ilvl w:val="0"/>
          <w:numId w:val="2"/>
        </w:numPr>
        <w:tabs>
          <w:tab w:val="left" w:pos="1539"/>
          <w:tab w:val="left" w:pos="3873"/>
        </w:tabs>
        <w:kinsoku w:val="0"/>
        <w:overflowPunct w:val="0"/>
        <w:spacing w:before="69"/>
        <w:rPr>
          <w:b/>
        </w:rPr>
      </w:pPr>
      <w:r w:rsidRPr="00E674FC">
        <w:rPr>
          <w:b/>
        </w:rPr>
        <w:t xml:space="preserve">Print, fill out, sign a hard copy, then scan and email to </w:t>
      </w:r>
      <w:hyperlink r:id="rId5" w:history="1">
        <w:r w:rsidR="00CE282F" w:rsidRPr="006071CB">
          <w:rPr>
            <w:rStyle w:val="Hyperlink"/>
            <w:b/>
          </w:rPr>
          <w:t>htreminio@fullcoll.edu</w:t>
        </w:r>
      </w:hyperlink>
    </w:p>
    <w:sectPr w:rsidR="00A67B2A" w:rsidRPr="00E674FC" w:rsidSect="009C41B2">
      <w:type w:val="continuous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076"/>
    <w:multiLevelType w:val="hybridMultilevel"/>
    <w:tmpl w:val="4F8892AA"/>
    <w:lvl w:ilvl="0" w:tplc="9B406348">
      <w:start w:val="1"/>
      <w:numFmt w:val="decimal"/>
      <w:lvlText w:val="%1."/>
      <w:lvlJc w:val="left"/>
      <w:pPr>
        <w:ind w:left="4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68E6CFA"/>
    <w:multiLevelType w:val="hybridMultilevel"/>
    <w:tmpl w:val="712E4DBC"/>
    <w:lvl w:ilvl="0" w:tplc="4C106A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C"/>
    <w:rsid w:val="0027494F"/>
    <w:rsid w:val="00351D1D"/>
    <w:rsid w:val="003926F2"/>
    <w:rsid w:val="003C525C"/>
    <w:rsid w:val="00414C73"/>
    <w:rsid w:val="005868A7"/>
    <w:rsid w:val="005D2593"/>
    <w:rsid w:val="005E348E"/>
    <w:rsid w:val="006569F3"/>
    <w:rsid w:val="00710839"/>
    <w:rsid w:val="007661EA"/>
    <w:rsid w:val="00880148"/>
    <w:rsid w:val="008B4584"/>
    <w:rsid w:val="00965A9E"/>
    <w:rsid w:val="009B16A3"/>
    <w:rsid w:val="009B4C38"/>
    <w:rsid w:val="009C41B2"/>
    <w:rsid w:val="00A64DB9"/>
    <w:rsid w:val="00A67B2A"/>
    <w:rsid w:val="00AF6388"/>
    <w:rsid w:val="00CE282F"/>
    <w:rsid w:val="00E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FF18"/>
  <w15:docId w15:val="{372B1963-B9DF-46FE-9D21-B3CD0586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569F3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569F3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reminio@full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jcostello</dc:creator>
  <cp:lastModifiedBy>Jeanne Costello</cp:lastModifiedBy>
  <cp:revision>8</cp:revision>
  <cp:lastPrinted>2020-03-06T02:00:00Z</cp:lastPrinted>
  <dcterms:created xsi:type="dcterms:W3CDTF">2018-03-05T22:46:00Z</dcterms:created>
  <dcterms:modified xsi:type="dcterms:W3CDTF">2020-03-06T02:10:00Z</dcterms:modified>
</cp:coreProperties>
</file>